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EB" w:rsidRPr="009163EB" w:rsidRDefault="009163EB" w:rsidP="009163EB">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02</w:t>
      </w:r>
      <w:r w:rsidRPr="009163EB">
        <w:rPr>
          <w:rFonts w:ascii="Trebuchet MS" w:eastAsia="Times New Roman" w:hAnsi="Trebuchet MS" w:cs="Arial"/>
          <w:b/>
          <w:color w:val="0070C0"/>
          <w:sz w:val="24"/>
          <w:szCs w:val="24"/>
          <w:lang w:val="ro-RO" w:eastAsia="en-GB"/>
        </w:rPr>
        <w:t>.10.2020</w:t>
      </w:r>
    </w:p>
    <w:p w:rsidR="009163EB" w:rsidRPr="009163EB" w:rsidRDefault="009163EB" w:rsidP="009163EB">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9163EB">
        <w:rPr>
          <w:rFonts w:ascii="Trebuchet MS" w:eastAsia="Times New Roman" w:hAnsi="Trebuchet MS" w:cs="Tahoma"/>
          <w:b/>
          <w:bCs/>
          <w:color w:val="0070C0"/>
          <w:kern w:val="36"/>
          <w:sz w:val="24"/>
          <w:szCs w:val="24"/>
          <w:lang w:val="ro-RO" w:eastAsia="en-GB"/>
        </w:rPr>
        <w:t>Buletin Informativ</w:t>
      </w:r>
    </w:p>
    <w:p w:rsidR="009163EB" w:rsidRPr="009163EB" w:rsidRDefault="009163EB" w:rsidP="009163EB">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9163EB" w:rsidRPr="009163EB" w:rsidRDefault="009163EB" w:rsidP="009163EB">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9163EB">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9163EB" w:rsidRPr="009163EB" w:rsidRDefault="009163EB" w:rsidP="009163EB">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2</w:t>
      </w:r>
      <w:r w:rsidRPr="009163EB">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Pr="009163EB">
        <w:rPr>
          <w:rFonts w:ascii="Trebuchet MS" w:eastAsia="Times New Roman" w:hAnsi="Trebuchet MS" w:cs="Arial"/>
          <w:color w:val="333333"/>
          <w:sz w:val="24"/>
          <w:szCs w:val="24"/>
          <w:lang w:val="ro-RO" w:eastAsia="en-GB"/>
        </w:rPr>
        <w:t>se</w:t>
      </w:r>
      <w:r w:rsidRPr="009163EB">
        <w:rPr>
          <w:rFonts w:ascii="Trebuchet MS" w:eastAsia="Times New Roman" w:hAnsi="Trebuchet MS" w:cs="Arial"/>
          <w:b/>
          <w:bCs/>
          <w:color w:val="333333"/>
          <w:sz w:val="24"/>
          <w:szCs w:val="24"/>
          <w:lang w:val="ro-RO" w:eastAsia="en-GB"/>
        </w:rPr>
        <w:t xml:space="preserve"> </w:t>
      </w:r>
      <w:r w:rsidRPr="009163EB">
        <w:rPr>
          <w:rFonts w:ascii="Trebuchet MS" w:eastAsia="Times New Roman" w:hAnsi="Trebuchet MS" w:cs="Arial"/>
          <w:color w:val="333333"/>
          <w:sz w:val="24"/>
          <w:szCs w:val="24"/>
          <w:lang w:val="ro-RO" w:eastAsia="en-GB"/>
        </w:rPr>
        <w:t>înregistrează următoarea situație:</w:t>
      </w:r>
    </w:p>
    <w:p w:rsidR="009163EB" w:rsidRPr="009163EB" w:rsidRDefault="009163EB" w:rsidP="009163EB">
      <w:pPr>
        <w:shd w:val="clear" w:color="auto" w:fill="FFFFFF"/>
        <w:spacing w:after="150" w:line="240" w:lineRule="auto"/>
        <w:jc w:val="both"/>
        <w:rPr>
          <w:rFonts w:ascii="Trebuchet MS" w:eastAsia="Times New Roman" w:hAnsi="Trebuchet MS" w:cs="Arial"/>
          <w:color w:val="333333"/>
          <w:sz w:val="24"/>
          <w:szCs w:val="24"/>
          <w:lang w:val="ro-RO" w:eastAsia="en-GB"/>
        </w:rPr>
      </w:pPr>
      <w:r w:rsidRPr="009163EB">
        <w:rPr>
          <w:rFonts w:ascii="Trebuchet MS" w:eastAsia="Times New Roman" w:hAnsi="Trebuchet MS" w:cs="Arial"/>
          <w:color w:val="333333"/>
          <w:sz w:val="24"/>
          <w:szCs w:val="24"/>
          <w:lang w:val="ro-RO" w:eastAsia="en-GB"/>
        </w:rPr>
        <w:t>-</w:t>
      </w:r>
      <w:r w:rsidRPr="009163EB">
        <w:rPr>
          <w:rFonts w:ascii="Trebuchet MS" w:eastAsia="Times New Roman" w:hAnsi="Trebuchet MS" w:cs="Arial"/>
          <w:b/>
          <w:bCs/>
          <w:color w:val="333333"/>
          <w:sz w:val="24"/>
          <w:szCs w:val="24"/>
          <w:lang w:val="ro-RO" w:eastAsia="en-GB"/>
        </w:rPr>
        <w:t xml:space="preserve">  256 </w:t>
      </w:r>
      <w:r w:rsidRPr="009163EB">
        <w:rPr>
          <w:rFonts w:ascii="Trebuchet MS" w:eastAsia="Times New Roman" w:hAnsi="Trebuchet MS" w:cs="Arial"/>
          <w:color w:val="333333"/>
          <w:sz w:val="24"/>
          <w:szCs w:val="24"/>
          <w:lang w:val="ro-RO" w:eastAsia="en-GB"/>
        </w:rPr>
        <w:t>de unități de învățământ în </w:t>
      </w:r>
      <w:r w:rsidRPr="009163EB">
        <w:rPr>
          <w:rFonts w:ascii="Trebuchet MS" w:eastAsia="Times New Roman" w:hAnsi="Trebuchet MS" w:cs="Arial"/>
          <w:b/>
          <w:bCs/>
          <w:color w:val="333333"/>
          <w:sz w:val="24"/>
          <w:szCs w:val="24"/>
          <w:lang w:val="ro-RO" w:eastAsia="en-GB"/>
        </w:rPr>
        <w:t>Scenariul 1 (S1)</w:t>
      </w:r>
      <w:r w:rsidRPr="009163EB">
        <w:rPr>
          <w:rFonts w:ascii="Trebuchet MS" w:eastAsia="Times New Roman" w:hAnsi="Trebuchet MS" w:cs="Arial"/>
          <w:color w:val="333333"/>
          <w:sz w:val="24"/>
          <w:szCs w:val="24"/>
          <w:lang w:val="ro-RO" w:eastAsia="en-GB"/>
        </w:rPr>
        <w:t>: participarea zilnică (</w:t>
      </w:r>
      <w:r w:rsidRPr="009163EB">
        <w:rPr>
          <w:rFonts w:ascii="Trebuchet MS" w:eastAsia="Times New Roman" w:hAnsi="Trebuchet MS" w:cs="Arial"/>
          <w:i/>
          <w:iCs/>
          <w:color w:val="333333"/>
          <w:sz w:val="24"/>
          <w:szCs w:val="24"/>
          <w:lang w:val="ro-RO" w:eastAsia="en-GB"/>
        </w:rPr>
        <w:t>față în față</w:t>
      </w:r>
      <w:r w:rsidRPr="009163EB">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9163EB" w:rsidRPr="009163EB" w:rsidRDefault="009163EB" w:rsidP="009163EB">
      <w:pPr>
        <w:shd w:val="clear" w:color="auto" w:fill="FFFFFF"/>
        <w:spacing w:after="150" w:line="240" w:lineRule="auto"/>
        <w:jc w:val="both"/>
        <w:rPr>
          <w:rFonts w:ascii="Trebuchet MS" w:eastAsia="Times New Roman" w:hAnsi="Trebuchet MS" w:cs="Arial"/>
          <w:color w:val="333333"/>
          <w:sz w:val="24"/>
          <w:szCs w:val="24"/>
          <w:lang w:val="ro-RO" w:eastAsia="en-GB"/>
        </w:rPr>
      </w:pPr>
      <w:r w:rsidRPr="009163EB">
        <w:rPr>
          <w:rFonts w:ascii="Trebuchet MS" w:eastAsia="Times New Roman" w:hAnsi="Trebuchet MS" w:cs="Arial"/>
          <w:color w:val="333333"/>
          <w:sz w:val="24"/>
          <w:szCs w:val="24"/>
          <w:lang w:val="ro-RO" w:eastAsia="en-GB"/>
        </w:rPr>
        <w:t>-</w:t>
      </w:r>
      <w:r w:rsidRPr="009163EB">
        <w:rPr>
          <w:rFonts w:ascii="Trebuchet MS" w:eastAsia="Times New Roman" w:hAnsi="Trebuchet MS" w:cs="Arial"/>
          <w:b/>
          <w:bCs/>
          <w:color w:val="333333"/>
          <w:sz w:val="24"/>
          <w:szCs w:val="24"/>
          <w:lang w:val="ro-RO" w:eastAsia="en-GB"/>
        </w:rPr>
        <w:t> 36</w:t>
      </w:r>
      <w:r w:rsidRPr="009163EB">
        <w:rPr>
          <w:rFonts w:ascii="Trebuchet MS" w:eastAsia="Times New Roman" w:hAnsi="Trebuchet MS" w:cs="Arial"/>
          <w:color w:val="333333"/>
          <w:sz w:val="24"/>
          <w:szCs w:val="24"/>
          <w:lang w:val="ro-RO" w:eastAsia="en-GB"/>
        </w:rPr>
        <w:t xml:space="preserve"> de unități de învățământ în </w:t>
      </w:r>
      <w:r w:rsidRPr="009163EB">
        <w:rPr>
          <w:rFonts w:ascii="Trebuchet MS" w:eastAsia="Times New Roman" w:hAnsi="Trebuchet MS" w:cs="Arial"/>
          <w:b/>
          <w:bCs/>
          <w:color w:val="333333"/>
          <w:sz w:val="24"/>
          <w:szCs w:val="24"/>
          <w:lang w:val="ro-RO" w:eastAsia="en-GB"/>
        </w:rPr>
        <w:t>Scenariul 2 (S2)</w:t>
      </w:r>
      <w:r w:rsidRPr="009163EB">
        <w:rPr>
          <w:rFonts w:ascii="Trebuchet MS" w:eastAsia="Times New Roman" w:hAnsi="Trebuchet MS" w:cs="Arial"/>
          <w:color w:val="333333"/>
          <w:sz w:val="24"/>
          <w:szCs w:val="24"/>
          <w:lang w:val="ro-RO" w:eastAsia="en-GB"/>
        </w:rPr>
        <w:t>. Acesta presupune participarea zilnică (</w:t>
      </w:r>
      <w:r w:rsidRPr="009163EB">
        <w:rPr>
          <w:rFonts w:ascii="Trebuchet MS" w:eastAsia="Times New Roman" w:hAnsi="Trebuchet MS" w:cs="Arial"/>
          <w:i/>
          <w:iCs/>
          <w:color w:val="333333"/>
          <w:sz w:val="24"/>
          <w:szCs w:val="24"/>
          <w:lang w:val="ro-RO" w:eastAsia="en-GB"/>
        </w:rPr>
        <w:t>față în față</w:t>
      </w:r>
      <w:r w:rsidRPr="009163EB">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w:t>
      </w:r>
      <w:bookmarkStart w:id="0" w:name="_GoBack"/>
      <w:bookmarkEnd w:id="0"/>
      <w:r w:rsidRPr="009163EB">
        <w:rPr>
          <w:rFonts w:ascii="Trebuchet MS" w:eastAsia="Times New Roman" w:hAnsi="Trebuchet MS" w:cs="Arial"/>
          <w:color w:val="333333"/>
          <w:sz w:val="24"/>
          <w:szCs w:val="24"/>
          <w:lang w:val="ro-RO" w:eastAsia="en-GB"/>
        </w:rPr>
        <w:t xml:space="preserve"> și aplicarea tuturor normelor de protecție;</w:t>
      </w:r>
    </w:p>
    <w:p w:rsidR="009163EB" w:rsidRPr="009163EB" w:rsidRDefault="009163EB" w:rsidP="009163EB">
      <w:pPr>
        <w:shd w:val="clear" w:color="auto" w:fill="FFFFFF"/>
        <w:spacing w:after="150" w:line="240" w:lineRule="auto"/>
        <w:jc w:val="both"/>
        <w:rPr>
          <w:rFonts w:ascii="Trebuchet MS" w:eastAsia="Times New Roman" w:hAnsi="Trebuchet MS" w:cs="Arial"/>
          <w:color w:val="333333"/>
          <w:sz w:val="24"/>
          <w:szCs w:val="24"/>
          <w:lang w:val="ro-RO" w:eastAsia="en-GB"/>
        </w:rPr>
      </w:pPr>
      <w:r w:rsidRPr="009163EB">
        <w:rPr>
          <w:rFonts w:ascii="Trebuchet MS" w:eastAsia="Times New Roman" w:hAnsi="Trebuchet MS" w:cs="Arial"/>
          <w:color w:val="333333"/>
          <w:sz w:val="24"/>
          <w:szCs w:val="24"/>
          <w:lang w:val="ro-RO" w:eastAsia="en-GB"/>
        </w:rPr>
        <w:t>- </w:t>
      </w:r>
      <w:r w:rsidRPr="009163EB">
        <w:rPr>
          <w:rFonts w:ascii="Trebuchet MS" w:eastAsia="Times New Roman" w:hAnsi="Trebuchet MS" w:cs="Arial"/>
          <w:b/>
          <w:bCs/>
          <w:color w:val="333333"/>
          <w:sz w:val="24"/>
          <w:szCs w:val="24"/>
          <w:lang w:val="ro-RO" w:eastAsia="en-GB"/>
        </w:rPr>
        <w:t xml:space="preserve">11 </w:t>
      </w:r>
      <w:r w:rsidRPr="009163EB">
        <w:rPr>
          <w:rFonts w:ascii="Trebuchet MS" w:eastAsia="Times New Roman" w:hAnsi="Trebuchet MS" w:cs="Arial"/>
          <w:color w:val="333333"/>
          <w:sz w:val="24"/>
          <w:szCs w:val="24"/>
          <w:lang w:val="ro-RO" w:eastAsia="en-GB"/>
        </w:rPr>
        <w:t>de unități de învățământ în </w:t>
      </w:r>
      <w:r w:rsidRPr="009163EB">
        <w:rPr>
          <w:rFonts w:ascii="Trebuchet MS" w:eastAsia="Times New Roman" w:hAnsi="Trebuchet MS" w:cs="Arial"/>
          <w:b/>
          <w:bCs/>
          <w:color w:val="333333"/>
          <w:sz w:val="24"/>
          <w:szCs w:val="24"/>
          <w:lang w:val="ro-RO" w:eastAsia="en-GB"/>
        </w:rPr>
        <w:t>Scenariul 3 (S3)</w:t>
      </w:r>
      <w:r w:rsidRPr="009163EB">
        <w:rPr>
          <w:rFonts w:ascii="Trebuchet MS" w:eastAsia="Times New Roman" w:hAnsi="Trebuchet MS" w:cs="Arial"/>
          <w:color w:val="333333"/>
          <w:sz w:val="24"/>
          <w:szCs w:val="24"/>
          <w:lang w:val="ro-RO" w:eastAsia="en-GB"/>
        </w:rPr>
        <w:t>: participarea tuturor preșcolarilor și elevilor la activități/lecții online.</w:t>
      </w:r>
    </w:p>
    <w:p w:rsidR="009163EB" w:rsidRPr="009163EB" w:rsidRDefault="009163EB" w:rsidP="009163EB">
      <w:pPr>
        <w:shd w:val="clear" w:color="auto" w:fill="FFFFFF"/>
        <w:spacing w:after="150" w:line="240" w:lineRule="auto"/>
        <w:jc w:val="both"/>
        <w:rPr>
          <w:rFonts w:ascii="Trebuchet MS" w:eastAsia="Times New Roman" w:hAnsi="Trebuchet MS" w:cs="Arial"/>
          <w:color w:val="333333"/>
          <w:sz w:val="24"/>
          <w:szCs w:val="24"/>
          <w:lang w:val="ro-RO" w:eastAsia="en-GB"/>
        </w:rPr>
      </w:pPr>
      <w:r w:rsidRPr="009163EB">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9163EB" w:rsidRPr="009163EB" w:rsidRDefault="009163EB" w:rsidP="009163EB">
      <w:pPr>
        <w:shd w:val="clear" w:color="auto" w:fill="FFFFFF"/>
        <w:spacing w:after="150" w:line="240" w:lineRule="auto"/>
        <w:jc w:val="both"/>
        <w:rPr>
          <w:rFonts w:ascii="Trebuchet MS" w:eastAsia="Times New Roman" w:hAnsi="Trebuchet MS" w:cs="Arial"/>
          <w:color w:val="333333"/>
          <w:sz w:val="24"/>
          <w:szCs w:val="24"/>
          <w:lang w:val="ro-RO" w:eastAsia="en-GB"/>
        </w:rPr>
      </w:pPr>
      <w:r w:rsidRPr="009163EB">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9163EB" w:rsidRPr="009163EB" w:rsidRDefault="009163EB" w:rsidP="009163EB">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9163EB">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9163EB" w:rsidRPr="009163EB" w:rsidRDefault="009163EB" w:rsidP="009163EB">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9163EB">
        <w:rPr>
          <w:rFonts w:ascii="Trebuchet MS" w:eastAsia="Times New Roman" w:hAnsi="Trebuchet MS" w:cs="Arial"/>
          <w:b/>
          <w:bCs/>
          <w:color w:val="333333"/>
          <w:sz w:val="24"/>
          <w:szCs w:val="24"/>
          <w:lang w:val="ro-RO" w:eastAsia="en-GB"/>
        </w:rPr>
        <w:t>Inspector școlar general adjunct, prof. Butoi Adriana</w:t>
      </w:r>
    </w:p>
    <w:p w:rsidR="009163EB" w:rsidRPr="009163EB" w:rsidRDefault="009163EB" w:rsidP="009163EB">
      <w:pPr>
        <w:spacing w:line="256" w:lineRule="auto"/>
        <w:rPr>
          <w:rFonts w:ascii="Calibri" w:eastAsia="Calibri" w:hAnsi="Calibri" w:cs="Times New Roman"/>
        </w:rPr>
      </w:pPr>
    </w:p>
    <w:p w:rsidR="009163EB" w:rsidRPr="009163EB" w:rsidRDefault="009163EB" w:rsidP="009163EB">
      <w:pPr>
        <w:spacing w:line="256" w:lineRule="auto"/>
        <w:rPr>
          <w:rFonts w:ascii="Calibri" w:eastAsia="Calibri" w:hAnsi="Calibri" w:cs="Times New Roman"/>
        </w:rPr>
      </w:pPr>
    </w:p>
    <w:p w:rsidR="009163EB" w:rsidRPr="009163EB" w:rsidRDefault="009163EB" w:rsidP="009163EB">
      <w:pPr>
        <w:spacing w:line="256" w:lineRule="auto"/>
        <w:rPr>
          <w:rFonts w:ascii="Calibri" w:eastAsia="Calibri" w:hAnsi="Calibri" w:cs="Times New Roman"/>
        </w:rPr>
      </w:pPr>
    </w:p>
    <w:p w:rsidR="00EB42BD" w:rsidRDefault="00EB42BD"/>
    <w:sectPr w:rsidR="00EB42BD">
      <w:headerReference w:type="default"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Pr="000F54BD" w:rsidRDefault="009163EB" w:rsidP="000F54BD">
    <w:pPr>
      <w:tabs>
        <w:tab w:val="center" w:pos="4680"/>
        <w:tab w:val="right" w:pos="9360"/>
      </w:tabs>
      <w:spacing w:after="0" w:line="240" w:lineRule="auto"/>
    </w:pPr>
  </w:p>
  <w:p w:rsidR="000F54BD" w:rsidRPr="000F54BD" w:rsidRDefault="009163EB" w:rsidP="000F54BD"/>
  <w:p w:rsidR="000F54BD" w:rsidRPr="000F54BD" w:rsidRDefault="009163EB" w:rsidP="000F54BD">
    <w:pPr>
      <w:tabs>
        <w:tab w:val="center" w:pos="4680"/>
        <w:tab w:val="right" w:pos="9360"/>
      </w:tabs>
      <w:spacing w:after="0" w:line="240" w:lineRule="auto"/>
    </w:pPr>
  </w:p>
  <w:p w:rsidR="000F54BD" w:rsidRPr="000F54BD" w:rsidRDefault="009163EB" w:rsidP="000F54BD"/>
  <w:p w:rsidR="000F54BD" w:rsidRPr="000F54BD" w:rsidRDefault="009163EB" w:rsidP="000F54BD">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0F54BD" w:rsidRPr="000F54BD" w:rsidRDefault="009163EB" w:rsidP="000F54BD">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0F54BD" w:rsidRDefault="009163E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4BD" w:rsidRDefault="009163EB">
    <w:pPr>
      <w:pStyle w:val="Header"/>
    </w:pPr>
    <w:r w:rsidRPr="00053EA5">
      <w:rPr>
        <w:noProof/>
      </w:rPr>
      <w:drawing>
        <wp:inline distT="0" distB="0" distL="0" distR="0" wp14:anchorId="5CF770C2" wp14:editId="1BADAF33">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4B"/>
    <w:rsid w:val="0026004B"/>
    <w:rsid w:val="009163EB"/>
    <w:rsid w:val="00EB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363F9-A99F-4CA5-ACD6-97D3DFFA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3E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163EB"/>
    <w:rPr>
      <w:rFonts w:ascii="Calibri" w:eastAsia="Calibri" w:hAnsi="Calibri" w:cs="Times New Roman"/>
    </w:rPr>
  </w:style>
  <w:style w:type="paragraph" w:styleId="Footer">
    <w:name w:val="footer"/>
    <w:basedOn w:val="Normal"/>
    <w:link w:val="FooterChar"/>
    <w:uiPriority w:val="99"/>
    <w:unhideWhenUsed/>
    <w:rsid w:val="009163E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163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2020-10-02T11:19:00Z</dcterms:created>
  <dcterms:modified xsi:type="dcterms:W3CDTF">2020-10-02T11:20:00Z</dcterms:modified>
</cp:coreProperties>
</file>